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21dc2a" w14:textId="2021dc2a">
      <w:pPr>
        <w:spacing w:after="0"/>
        <w:ind w:left="0"/>
        <w:jc w:val="left"/>
        <w15:collapsed w:val="false"/>
      </w:pPr>
      <w:r>
        <w:rPr>
          <w:b w:val="false"/>
          <w:i w:val="false"/>
          <w:color w:val="000000"/>
          <w:sz w:val="22"/>
        </w:rPr>
        <w:t>更好把握和运用党的百年奋斗历史经验</w:t>
      </w:r>
      <w:r>
        <w:br/>
      </w:r>
    </w:p>
    <w:p>
      <w:pPr>
        <w:spacing w:after="0"/>
        <w:ind w:left="0"/>
        <w:jc w:val="left"/>
      </w:pPr>
    </w:p>
    <w:sectPr>
      <w:pgSz w:w="11907" w:h="16839" w:code="9"/>
      <w:pgMar w:top="1440" w:right="1440" w:bottom="1440" w:left="144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